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F6A" w:rsidRDefault="00124893" w:rsidP="00124893">
      <w:pPr>
        <w:pStyle w:val="Title"/>
      </w:pPr>
      <w:r>
        <w:t>Cheat Sheet</w:t>
      </w:r>
    </w:p>
    <w:p w:rsidR="00124893" w:rsidRDefault="00124893" w:rsidP="00124893"/>
    <w:p w:rsidR="00124893" w:rsidRPr="00DD35F8" w:rsidRDefault="00124893" w:rsidP="00124893">
      <w:pPr>
        <w:rPr>
          <w:sz w:val="24"/>
          <w:szCs w:val="24"/>
        </w:rPr>
      </w:pPr>
      <w:r w:rsidRPr="00DD35F8">
        <w:rPr>
          <w:rFonts w:ascii="Times New Roman" w:hAnsi="Times New Roman" w:cs="Times New Roman"/>
          <w:sz w:val="24"/>
          <w:szCs w:val="24"/>
        </w:rPr>
        <w:t xml:space="preserve">Below are the codes used for Offers of Coverage and Safe </w:t>
      </w:r>
      <w:proofErr w:type="gramStart"/>
      <w:r w:rsidRPr="00DD35F8">
        <w:rPr>
          <w:rFonts w:ascii="Times New Roman" w:hAnsi="Times New Roman" w:cs="Times New Roman"/>
          <w:sz w:val="24"/>
          <w:szCs w:val="24"/>
        </w:rPr>
        <w:t>Harbors.</w:t>
      </w:r>
      <w:proofErr w:type="gramEnd"/>
      <w:r w:rsidRPr="00DD35F8">
        <w:rPr>
          <w:rFonts w:ascii="Times New Roman" w:hAnsi="Times New Roman" w:cs="Times New Roman"/>
          <w:sz w:val="24"/>
          <w:szCs w:val="24"/>
        </w:rPr>
        <w:t xml:space="preserve">  Commonly used codes are highlighted</w:t>
      </w:r>
      <w:r w:rsidRPr="00DD35F8">
        <w:rPr>
          <w:sz w:val="24"/>
          <w:szCs w:val="24"/>
        </w:rPr>
        <w:t>.</w:t>
      </w:r>
    </w:p>
    <w:p w:rsidR="00124893" w:rsidRDefault="00124893" w:rsidP="00124893">
      <w:pPr>
        <w:pStyle w:val="Heading1"/>
      </w:pPr>
      <w:r>
        <w:t>Offer of Coverage Codes:</w:t>
      </w:r>
    </w:p>
    <w:p w:rsidR="00124893" w:rsidRDefault="00124893" w:rsidP="00124893">
      <w:pPr>
        <w:pStyle w:val="list-bullet-3"/>
        <w:numPr>
          <w:ilvl w:val="0"/>
          <w:numId w:val="1"/>
        </w:numPr>
      </w:pPr>
      <w:r>
        <w:rPr>
          <w:sz w:val="12"/>
          <w:szCs w:val="12"/>
        </w:rPr>
        <w:t> </w:t>
      </w:r>
      <w:r>
        <w:rPr>
          <w:rStyle w:val="italics"/>
        </w:rPr>
        <w:t>1A - Qualifying Offer</w:t>
      </w:r>
    </w:p>
    <w:p w:rsidR="00124893" w:rsidRDefault="00124893" w:rsidP="00124893">
      <w:pPr>
        <w:pStyle w:val="list-bullet-3"/>
        <w:numPr>
          <w:ilvl w:val="0"/>
          <w:numId w:val="1"/>
        </w:numPr>
      </w:pPr>
      <w:r>
        <w:rPr>
          <w:rStyle w:val="italics"/>
        </w:rPr>
        <w:t>1B - Offer to employee only</w:t>
      </w:r>
    </w:p>
    <w:p w:rsidR="00124893" w:rsidRDefault="00124893" w:rsidP="00124893">
      <w:pPr>
        <w:pStyle w:val="list-bullet-3"/>
        <w:numPr>
          <w:ilvl w:val="0"/>
          <w:numId w:val="1"/>
        </w:numPr>
      </w:pPr>
      <w:r>
        <w:rPr>
          <w:rStyle w:val="italics"/>
        </w:rPr>
        <w:t>1C - Offer to employee and dependents</w:t>
      </w:r>
    </w:p>
    <w:p w:rsidR="00124893" w:rsidRDefault="00124893" w:rsidP="00124893">
      <w:pPr>
        <w:pStyle w:val="list-bullet-3"/>
        <w:numPr>
          <w:ilvl w:val="0"/>
          <w:numId w:val="1"/>
        </w:numPr>
      </w:pPr>
      <w:r>
        <w:rPr>
          <w:rStyle w:val="italics"/>
        </w:rPr>
        <w:t>1D - Offer to employee and spouse</w:t>
      </w:r>
    </w:p>
    <w:p w:rsidR="00124893" w:rsidRPr="00124893" w:rsidRDefault="00124893" w:rsidP="00124893">
      <w:pPr>
        <w:pStyle w:val="list-bullet-3"/>
        <w:numPr>
          <w:ilvl w:val="0"/>
          <w:numId w:val="1"/>
        </w:numPr>
        <w:rPr>
          <w:highlight w:val="yellow"/>
        </w:rPr>
      </w:pPr>
      <w:r w:rsidRPr="00124893">
        <w:rPr>
          <w:rStyle w:val="italics"/>
          <w:highlight w:val="yellow"/>
        </w:rPr>
        <w:t>1E - Offer to employee, spouse, and dependents</w:t>
      </w:r>
    </w:p>
    <w:p w:rsidR="00124893" w:rsidRDefault="00124893" w:rsidP="00124893">
      <w:pPr>
        <w:pStyle w:val="list-bullet-3"/>
        <w:numPr>
          <w:ilvl w:val="0"/>
          <w:numId w:val="1"/>
        </w:numPr>
      </w:pPr>
      <w:r>
        <w:rPr>
          <w:rStyle w:val="italics"/>
        </w:rPr>
        <w:t>1F - Offer of coverage not providing the minimum value.  (</w:t>
      </w:r>
      <w:r>
        <w:t>An employer-sponsored plan provides minimum value if it covers at least 60 percent of the total allowed cost of benefits that are expected to be incurred under the plan.  Minimum Value Calculator Tool available.)</w:t>
      </w:r>
    </w:p>
    <w:p w:rsidR="00124893" w:rsidRPr="00124893" w:rsidRDefault="00124893" w:rsidP="00124893">
      <w:pPr>
        <w:pStyle w:val="list-bullet-3"/>
        <w:numPr>
          <w:ilvl w:val="0"/>
          <w:numId w:val="1"/>
        </w:numPr>
        <w:rPr>
          <w:highlight w:val="yellow"/>
        </w:rPr>
      </w:pPr>
      <w:r>
        <w:rPr>
          <w:sz w:val="12"/>
          <w:szCs w:val="12"/>
        </w:rPr>
        <w:t> </w:t>
      </w:r>
      <w:r w:rsidRPr="00124893">
        <w:rPr>
          <w:rStyle w:val="italics"/>
          <w:highlight w:val="yellow"/>
        </w:rPr>
        <w:t>1G - Employee not full-time and enrolled in self-insured coverage</w:t>
      </w:r>
    </w:p>
    <w:p w:rsidR="00124893" w:rsidRDefault="00124893" w:rsidP="00124893">
      <w:pPr>
        <w:pStyle w:val="list-bullet-3"/>
        <w:numPr>
          <w:ilvl w:val="0"/>
          <w:numId w:val="1"/>
        </w:numPr>
        <w:rPr>
          <w:rStyle w:val="italics"/>
          <w:highlight w:val="yellow"/>
        </w:rPr>
      </w:pPr>
      <w:r w:rsidRPr="00124893">
        <w:rPr>
          <w:rStyle w:val="italics"/>
          <w:highlight w:val="yellow"/>
        </w:rPr>
        <w:t>1H - No offers</w:t>
      </w:r>
    </w:p>
    <w:p w:rsidR="00C810D1" w:rsidRPr="00C810D1" w:rsidRDefault="00C810D1" w:rsidP="00124893">
      <w:pPr>
        <w:pStyle w:val="list-bullet-3"/>
        <w:numPr>
          <w:ilvl w:val="0"/>
          <w:numId w:val="1"/>
        </w:numPr>
        <w:rPr>
          <w:rStyle w:val="italics"/>
        </w:rPr>
      </w:pPr>
      <w:r w:rsidRPr="00C810D1">
        <w:rPr>
          <w:rStyle w:val="italics"/>
        </w:rPr>
        <w:t>1J – Offer to employee, spouse conditional, not to dependents</w:t>
      </w:r>
    </w:p>
    <w:p w:rsidR="00C810D1" w:rsidRPr="00C810D1" w:rsidRDefault="00C810D1" w:rsidP="00124893">
      <w:pPr>
        <w:pStyle w:val="list-bullet-3"/>
        <w:numPr>
          <w:ilvl w:val="0"/>
          <w:numId w:val="1"/>
        </w:numPr>
        <w:rPr>
          <w:rStyle w:val="italics"/>
        </w:rPr>
      </w:pPr>
      <w:r w:rsidRPr="00C810D1">
        <w:rPr>
          <w:rStyle w:val="italics"/>
        </w:rPr>
        <w:t>1K – Offer to employee and dependents, spouse conditional</w:t>
      </w:r>
    </w:p>
    <w:p w:rsidR="00C810D1" w:rsidRPr="00C810D1" w:rsidRDefault="00C810D1" w:rsidP="00124893">
      <w:pPr>
        <w:pStyle w:val="list-bullet-3"/>
        <w:numPr>
          <w:ilvl w:val="0"/>
          <w:numId w:val="1"/>
        </w:numPr>
        <w:rPr>
          <w:rStyle w:val="italics"/>
        </w:rPr>
      </w:pPr>
      <w:r w:rsidRPr="00C810D1">
        <w:rPr>
          <w:rStyle w:val="italics"/>
        </w:rPr>
        <w:t>1L – Individual coverage HRA offered to employee only</w:t>
      </w:r>
    </w:p>
    <w:p w:rsidR="00C810D1" w:rsidRDefault="00C810D1" w:rsidP="00124893">
      <w:pPr>
        <w:pStyle w:val="list-bullet-3"/>
        <w:numPr>
          <w:ilvl w:val="0"/>
          <w:numId w:val="1"/>
        </w:numPr>
        <w:rPr>
          <w:rStyle w:val="italics"/>
        </w:rPr>
      </w:pPr>
      <w:r>
        <w:t xml:space="preserve">1M </w:t>
      </w:r>
      <w:r w:rsidRPr="00C810D1">
        <w:rPr>
          <w:rStyle w:val="italics"/>
        </w:rPr>
        <w:t>– Individual coverage HRA offered to employee</w:t>
      </w:r>
      <w:r>
        <w:rPr>
          <w:rStyle w:val="italics"/>
        </w:rPr>
        <w:t xml:space="preserve"> and dependents</w:t>
      </w:r>
    </w:p>
    <w:p w:rsidR="00C810D1" w:rsidRDefault="00C810D1" w:rsidP="00124893">
      <w:pPr>
        <w:pStyle w:val="list-bullet-3"/>
        <w:numPr>
          <w:ilvl w:val="0"/>
          <w:numId w:val="1"/>
        </w:numPr>
        <w:rPr>
          <w:rStyle w:val="italics"/>
        </w:rPr>
      </w:pPr>
      <w:r>
        <w:rPr>
          <w:rStyle w:val="italics"/>
        </w:rPr>
        <w:t xml:space="preserve">1N </w:t>
      </w:r>
      <w:r w:rsidRPr="00C810D1">
        <w:rPr>
          <w:rStyle w:val="italics"/>
        </w:rPr>
        <w:t>– Individual coverage HRA offered to employee</w:t>
      </w:r>
      <w:r>
        <w:rPr>
          <w:rStyle w:val="italics"/>
        </w:rPr>
        <w:t>, spouse and dependents</w:t>
      </w:r>
    </w:p>
    <w:p w:rsidR="00C810D1" w:rsidRDefault="00C810D1" w:rsidP="00124893">
      <w:pPr>
        <w:pStyle w:val="list-bullet-3"/>
        <w:numPr>
          <w:ilvl w:val="0"/>
          <w:numId w:val="1"/>
        </w:numPr>
        <w:rPr>
          <w:rStyle w:val="italics"/>
        </w:rPr>
      </w:pPr>
      <w:r>
        <w:rPr>
          <w:rStyle w:val="italics"/>
        </w:rPr>
        <w:t xml:space="preserve">1O </w:t>
      </w:r>
      <w:r w:rsidRPr="00C810D1">
        <w:rPr>
          <w:rStyle w:val="italics"/>
        </w:rPr>
        <w:t>– Individual coverage HRA offered to employee</w:t>
      </w:r>
      <w:r>
        <w:rPr>
          <w:rStyle w:val="italics"/>
        </w:rPr>
        <w:t>s using affordability safe harbor</w:t>
      </w:r>
    </w:p>
    <w:p w:rsidR="00C810D1" w:rsidRDefault="00C810D1" w:rsidP="00124893">
      <w:pPr>
        <w:pStyle w:val="list-bullet-3"/>
        <w:numPr>
          <w:ilvl w:val="0"/>
          <w:numId w:val="1"/>
        </w:numPr>
        <w:rPr>
          <w:rStyle w:val="italics"/>
        </w:rPr>
      </w:pPr>
      <w:r>
        <w:rPr>
          <w:rStyle w:val="italics"/>
        </w:rPr>
        <w:t xml:space="preserve">1P </w:t>
      </w:r>
      <w:r w:rsidRPr="00C810D1">
        <w:rPr>
          <w:rStyle w:val="italics"/>
        </w:rPr>
        <w:t>– Individual coverage HRA offered to employee</w:t>
      </w:r>
      <w:r>
        <w:rPr>
          <w:rStyle w:val="italics"/>
        </w:rPr>
        <w:t xml:space="preserve"> and dependents using affordability safe harbor</w:t>
      </w:r>
    </w:p>
    <w:p w:rsidR="00C810D1" w:rsidRDefault="00C810D1" w:rsidP="00C810D1">
      <w:pPr>
        <w:pStyle w:val="list-bullet-3"/>
        <w:numPr>
          <w:ilvl w:val="0"/>
          <w:numId w:val="1"/>
        </w:numPr>
        <w:rPr>
          <w:rStyle w:val="italics"/>
        </w:rPr>
      </w:pPr>
      <w:r>
        <w:rPr>
          <w:rStyle w:val="italics"/>
        </w:rPr>
        <w:t xml:space="preserve">1Q </w:t>
      </w:r>
      <w:r w:rsidRPr="00C810D1">
        <w:rPr>
          <w:rStyle w:val="italics"/>
        </w:rPr>
        <w:t>– Individual coverage HRA offered to employee</w:t>
      </w:r>
      <w:r>
        <w:rPr>
          <w:rStyle w:val="italics"/>
        </w:rPr>
        <w:t xml:space="preserve">, spouse </w:t>
      </w:r>
      <w:r>
        <w:rPr>
          <w:rStyle w:val="italics"/>
        </w:rPr>
        <w:t>and dependents using affordability safe harbor</w:t>
      </w:r>
    </w:p>
    <w:p w:rsidR="00C810D1" w:rsidRDefault="00C810D1" w:rsidP="006E3398">
      <w:pPr>
        <w:pStyle w:val="list-bullet-3"/>
        <w:numPr>
          <w:ilvl w:val="0"/>
          <w:numId w:val="1"/>
        </w:numPr>
        <w:rPr>
          <w:rStyle w:val="italics"/>
        </w:rPr>
      </w:pPr>
      <w:r>
        <w:t xml:space="preserve">1R </w:t>
      </w:r>
      <w:r w:rsidRPr="00C810D1">
        <w:rPr>
          <w:rStyle w:val="italics"/>
        </w:rPr>
        <w:t xml:space="preserve">– Individual coverage HRA </w:t>
      </w:r>
      <w:r>
        <w:rPr>
          <w:rStyle w:val="italics"/>
        </w:rPr>
        <w:t xml:space="preserve">that is not affordable </w:t>
      </w:r>
      <w:r w:rsidRPr="00C810D1">
        <w:rPr>
          <w:rStyle w:val="italics"/>
        </w:rPr>
        <w:t>offered to employee</w:t>
      </w:r>
    </w:p>
    <w:p w:rsidR="00C810D1" w:rsidRPr="00C810D1" w:rsidRDefault="00C810D1" w:rsidP="00124893">
      <w:pPr>
        <w:pStyle w:val="list-bullet-3"/>
        <w:numPr>
          <w:ilvl w:val="0"/>
          <w:numId w:val="1"/>
        </w:numPr>
      </w:pPr>
      <w:r>
        <w:t xml:space="preserve">1S </w:t>
      </w:r>
      <w:r w:rsidRPr="00C810D1">
        <w:rPr>
          <w:rStyle w:val="italics"/>
        </w:rPr>
        <w:t>– Individual coverage HRA offered to employee</w:t>
      </w:r>
      <w:r>
        <w:rPr>
          <w:rStyle w:val="italics"/>
        </w:rPr>
        <w:t xml:space="preserve"> not full-time</w:t>
      </w:r>
    </w:p>
    <w:p w:rsidR="00124893" w:rsidRDefault="00124893" w:rsidP="00124893">
      <w:pPr>
        <w:pStyle w:val="Heading1"/>
      </w:pPr>
      <w:r>
        <w:t>Safe Harbors</w:t>
      </w:r>
    </w:p>
    <w:p w:rsidR="00124893" w:rsidRPr="00124893" w:rsidRDefault="00124893" w:rsidP="00124893">
      <w:pPr>
        <w:pStyle w:val="list-bullet-3"/>
        <w:numPr>
          <w:ilvl w:val="0"/>
          <w:numId w:val="2"/>
        </w:numPr>
        <w:spacing w:before="0" w:beforeAutospacing="0" w:after="0" w:afterAutospacing="0"/>
        <w:rPr>
          <w:highlight w:val="yellow"/>
        </w:rPr>
      </w:pPr>
      <w:r w:rsidRPr="00124893">
        <w:rPr>
          <w:rStyle w:val="italics"/>
          <w:highlight w:val="yellow"/>
        </w:rPr>
        <w:t>2A - Employee not employed on any day of the month</w:t>
      </w:r>
    </w:p>
    <w:p w:rsidR="00124893" w:rsidRPr="00124893" w:rsidRDefault="00124893" w:rsidP="00124893">
      <w:pPr>
        <w:pStyle w:val="list-bullet-3"/>
        <w:numPr>
          <w:ilvl w:val="0"/>
          <w:numId w:val="2"/>
        </w:numPr>
        <w:spacing w:before="0" w:beforeAutospacing="0" w:after="0" w:afterAutospacing="0"/>
        <w:rPr>
          <w:highlight w:val="yellow"/>
        </w:rPr>
      </w:pPr>
      <w:r w:rsidRPr="00124893">
        <w:rPr>
          <w:rStyle w:val="italics"/>
          <w:highlight w:val="yellow"/>
        </w:rPr>
        <w:t>2B - Employee not a full-time employee for the month and did not enroll in coverage</w:t>
      </w:r>
    </w:p>
    <w:p w:rsidR="00124893" w:rsidRPr="0024242F" w:rsidRDefault="00124893" w:rsidP="0024242F">
      <w:pPr>
        <w:pStyle w:val="list-bullet-3"/>
        <w:numPr>
          <w:ilvl w:val="0"/>
          <w:numId w:val="2"/>
        </w:numPr>
        <w:spacing w:before="0" w:beforeAutospacing="0" w:after="0" w:afterAutospacing="0"/>
        <w:rPr>
          <w:highlight w:val="yellow"/>
        </w:rPr>
      </w:pPr>
      <w:r w:rsidRPr="00124893">
        <w:rPr>
          <w:sz w:val="12"/>
          <w:szCs w:val="12"/>
          <w:highlight w:val="yellow"/>
        </w:rPr>
        <w:t> </w:t>
      </w:r>
      <w:r w:rsidRPr="00124893">
        <w:rPr>
          <w:rStyle w:val="italics"/>
          <w:highlight w:val="yellow"/>
        </w:rPr>
        <w:t>2C - Employee enrolled in coverage offered</w:t>
      </w:r>
    </w:p>
    <w:p w:rsidR="00124893" w:rsidRPr="0024242F" w:rsidRDefault="00124893" w:rsidP="00124893">
      <w:pPr>
        <w:pStyle w:val="list-bullet-3"/>
        <w:numPr>
          <w:ilvl w:val="0"/>
          <w:numId w:val="2"/>
        </w:numPr>
      </w:pPr>
      <w:r w:rsidRPr="00124893">
        <w:rPr>
          <w:rStyle w:val="italics"/>
          <w:highlight w:val="yellow"/>
        </w:rPr>
        <w:t>2F - W-2 safe harbor</w:t>
      </w:r>
      <w:r w:rsidR="0024242F">
        <w:rPr>
          <w:rStyle w:val="italics"/>
          <w:highlight w:val="yellow"/>
        </w:rPr>
        <w:t xml:space="preserve"> </w:t>
      </w:r>
      <w:r w:rsidR="0024242F" w:rsidRPr="0024242F">
        <w:rPr>
          <w:rStyle w:val="italics"/>
        </w:rPr>
        <w:t xml:space="preserve">(can only be used if employee chose not to take coverage offered, his/her salary was annualized </w:t>
      </w:r>
      <w:r w:rsidR="0024242F" w:rsidRPr="0024242F">
        <w:rPr>
          <w:rStyle w:val="italics"/>
          <w:b/>
        </w:rPr>
        <w:t>and</w:t>
      </w:r>
      <w:r w:rsidR="0024242F" w:rsidRPr="0024242F">
        <w:rPr>
          <w:rStyle w:val="italics"/>
        </w:rPr>
        <w:t xml:space="preserve"> they did not receive a decrease in pay over the calendar year)</w:t>
      </w:r>
    </w:p>
    <w:p w:rsidR="00124893" w:rsidRPr="00DD35F8" w:rsidRDefault="00062798" w:rsidP="00124893">
      <w:pPr>
        <w:pStyle w:val="list-bullet-3"/>
        <w:numPr>
          <w:ilvl w:val="0"/>
          <w:numId w:val="2"/>
        </w:numPr>
      </w:pPr>
      <w:r>
        <w:rPr>
          <w:rStyle w:val="italics"/>
        </w:rPr>
        <w:t>2G - Federal poverty line saf</w:t>
      </w:r>
      <w:r w:rsidR="00124893" w:rsidRPr="00DD35F8">
        <w:rPr>
          <w:rStyle w:val="italics"/>
        </w:rPr>
        <w:t>e harbor</w:t>
      </w:r>
      <w:r w:rsidR="0024242F" w:rsidRPr="00DD35F8">
        <w:rPr>
          <w:rStyle w:val="italics"/>
        </w:rPr>
        <w:t xml:space="preserve"> (uses the following calculation: 12,</w:t>
      </w:r>
      <w:r w:rsidR="00920E27">
        <w:rPr>
          <w:rStyle w:val="italics"/>
        </w:rPr>
        <w:t>490</w:t>
      </w:r>
      <w:r w:rsidR="00920E27" w:rsidRPr="00DD35F8">
        <w:rPr>
          <w:rStyle w:val="italics"/>
        </w:rPr>
        <w:t xml:space="preserve"> poverty level for </w:t>
      </w:r>
      <w:r w:rsidR="00920E27">
        <w:rPr>
          <w:rStyle w:val="italics"/>
        </w:rPr>
        <w:t>2020</w:t>
      </w:r>
      <w:r w:rsidR="00920E27" w:rsidRPr="00DD35F8">
        <w:rPr>
          <w:rStyle w:val="italics"/>
        </w:rPr>
        <w:t xml:space="preserve"> X</w:t>
      </w:r>
      <w:r w:rsidR="0024242F" w:rsidRPr="00DD35F8">
        <w:rPr>
          <w:rStyle w:val="italics"/>
        </w:rPr>
        <w:t xml:space="preserve"> </w:t>
      </w:r>
      <w:r w:rsidR="00920E27" w:rsidRPr="00DD35F8">
        <w:rPr>
          <w:rStyle w:val="italics"/>
        </w:rPr>
        <w:t>9.</w:t>
      </w:r>
      <w:r w:rsidR="00920E27">
        <w:rPr>
          <w:rStyle w:val="italics"/>
        </w:rPr>
        <w:t>78</w:t>
      </w:r>
      <w:r w:rsidR="00920E27" w:rsidRPr="00DD35F8">
        <w:rPr>
          <w:rStyle w:val="italics"/>
        </w:rPr>
        <w:t xml:space="preserve">% </w:t>
      </w:r>
      <w:r>
        <w:rPr>
          <w:rStyle w:val="italics"/>
        </w:rPr>
        <w:t>d</w:t>
      </w:r>
      <w:r w:rsidR="0024242F" w:rsidRPr="00DD35F8">
        <w:rPr>
          <w:rStyle w:val="italics"/>
        </w:rPr>
        <w:t xml:space="preserve">ivided </w:t>
      </w:r>
      <w:r>
        <w:rPr>
          <w:rStyle w:val="italics"/>
        </w:rPr>
        <w:t>by 12 monthly installments = $</w:t>
      </w:r>
      <w:r w:rsidR="00920E27">
        <w:rPr>
          <w:rStyle w:val="italics"/>
        </w:rPr>
        <w:t>101</w:t>
      </w:r>
      <w:r w:rsidR="0024242F" w:rsidRPr="00DD35F8">
        <w:rPr>
          <w:rStyle w:val="italics"/>
        </w:rPr>
        <w:t>.</w:t>
      </w:r>
      <w:r w:rsidR="00920E27">
        <w:rPr>
          <w:rStyle w:val="italics"/>
        </w:rPr>
        <w:t>79</w:t>
      </w:r>
      <w:r w:rsidR="0024242F" w:rsidRPr="00DD35F8">
        <w:rPr>
          <w:rStyle w:val="italics"/>
        </w:rPr>
        <w:t>.  As long as the employee share of the lowest premium option does not exceed this amount, you can use this safe harbor.  Most districts contribute only $225, making the employee share $</w:t>
      </w:r>
      <w:r w:rsidR="00920E27">
        <w:rPr>
          <w:rStyle w:val="italics"/>
        </w:rPr>
        <w:t>161</w:t>
      </w:r>
      <w:r w:rsidR="0024242F" w:rsidRPr="00DD35F8">
        <w:rPr>
          <w:rStyle w:val="italics"/>
        </w:rPr>
        <w:t xml:space="preserve"> so </w:t>
      </w:r>
      <w:r w:rsidR="0024242F" w:rsidRPr="00DD35F8">
        <w:rPr>
          <w:rStyle w:val="italics"/>
        </w:rPr>
        <w:lastRenderedPageBreak/>
        <w:t>this Safe Harbor would not apply, however, if your district contributes more, this may be applicable.)</w:t>
      </w:r>
    </w:p>
    <w:p w:rsidR="00124893" w:rsidRPr="00124893" w:rsidRDefault="00124893" w:rsidP="00DD35F8">
      <w:pPr>
        <w:pStyle w:val="list-bullet-3"/>
        <w:numPr>
          <w:ilvl w:val="0"/>
          <w:numId w:val="2"/>
        </w:numPr>
        <w:rPr>
          <w:highlight w:val="yellow"/>
        </w:rPr>
      </w:pPr>
      <w:r w:rsidRPr="00124893">
        <w:rPr>
          <w:rStyle w:val="italics"/>
          <w:highlight w:val="yellow"/>
        </w:rPr>
        <w:t xml:space="preserve">2H - Rate of pay safe </w:t>
      </w:r>
      <w:r w:rsidRPr="00DD35F8">
        <w:rPr>
          <w:rStyle w:val="italics"/>
          <w:highlight w:val="yellow"/>
        </w:rPr>
        <w:t>harbor</w:t>
      </w:r>
      <w:r w:rsidR="00DD35F8" w:rsidRPr="00DD35F8">
        <w:rPr>
          <w:rStyle w:val="italics"/>
        </w:rPr>
        <w:t xml:space="preserve"> (uses the following calculation:  Employee’</w:t>
      </w:r>
      <w:r w:rsidR="00920E27">
        <w:rPr>
          <w:rStyle w:val="italics"/>
        </w:rPr>
        <w:t xml:space="preserve">s hourly rate X 130 hours X </w:t>
      </w:r>
      <w:proofErr w:type="gramStart"/>
      <w:r w:rsidR="00920E27">
        <w:rPr>
          <w:rStyle w:val="italics"/>
        </w:rPr>
        <w:t>9.78</w:t>
      </w:r>
      <w:r w:rsidR="00DD35F8" w:rsidRPr="00DD35F8">
        <w:rPr>
          <w:rStyle w:val="italics"/>
        </w:rPr>
        <w:t>%</w:t>
      </w:r>
      <w:proofErr w:type="gramEnd"/>
      <w:r w:rsidR="00DD35F8" w:rsidRPr="00DD35F8">
        <w:rPr>
          <w:rStyle w:val="italics"/>
        </w:rPr>
        <w:t>.</w:t>
      </w:r>
      <w:r w:rsidR="00062798">
        <w:rPr>
          <w:rStyle w:val="italics"/>
        </w:rPr>
        <w:t>)</w:t>
      </w:r>
      <w:r w:rsidR="00DD35F8" w:rsidRPr="00DD35F8">
        <w:rPr>
          <w:rStyle w:val="italics"/>
        </w:rPr>
        <w:t xml:space="preserve">  As long as the employee share of the lowest premium option does not exceed this amount, you can use this safe harbor.</w:t>
      </w:r>
      <w:r w:rsidR="00DD35F8">
        <w:rPr>
          <w:rStyle w:val="italics"/>
        </w:rPr>
        <w:t xml:space="preserve">  Example of a full-time employee earning $15 per hour:  15</w:t>
      </w:r>
      <w:r w:rsidR="00920E27">
        <w:rPr>
          <w:rStyle w:val="italics"/>
        </w:rPr>
        <w:t xml:space="preserve"> X 130 X 9.78</w:t>
      </w:r>
      <w:r w:rsidR="00DD35F8">
        <w:rPr>
          <w:rStyle w:val="italics"/>
        </w:rPr>
        <w:t>% = $</w:t>
      </w:r>
      <w:r w:rsidR="00920E27">
        <w:rPr>
          <w:rStyle w:val="italics"/>
        </w:rPr>
        <w:t>190</w:t>
      </w:r>
      <w:r w:rsidR="00062798">
        <w:rPr>
          <w:rStyle w:val="italics"/>
        </w:rPr>
        <w:t>.</w:t>
      </w:r>
      <w:r w:rsidR="00920E27">
        <w:rPr>
          <w:rStyle w:val="italics"/>
        </w:rPr>
        <w:t>71</w:t>
      </w:r>
      <w:r w:rsidR="00DD35F8">
        <w:rPr>
          <w:rStyle w:val="italics"/>
        </w:rPr>
        <w:t xml:space="preserve">.  </w:t>
      </w:r>
      <w:r w:rsidR="00DD35F8" w:rsidRPr="00DD35F8">
        <w:rPr>
          <w:rStyle w:val="italics"/>
        </w:rPr>
        <w:t>Most districts contribute $225, making the employee share $</w:t>
      </w:r>
      <w:r w:rsidR="00920E27">
        <w:rPr>
          <w:rStyle w:val="italics"/>
        </w:rPr>
        <w:t>161</w:t>
      </w:r>
      <w:r w:rsidR="00062798">
        <w:rPr>
          <w:rStyle w:val="italics"/>
        </w:rPr>
        <w:t>.00</w:t>
      </w:r>
      <w:r w:rsidR="00DD35F8" w:rsidRPr="00DD35F8">
        <w:rPr>
          <w:rStyle w:val="italics"/>
        </w:rPr>
        <w:t xml:space="preserve"> so this Safe Harbor would apply</w:t>
      </w:r>
      <w:r w:rsidR="00DD35F8">
        <w:rPr>
          <w:rStyle w:val="italics"/>
        </w:rPr>
        <w:t xml:space="preserve">.  </w:t>
      </w:r>
    </w:p>
    <w:p w:rsidR="00124893" w:rsidRPr="00C810D1" w:rsidRDefault="00C810D1">
      <w:pPr>
        <w:rPr>
          <w:rFonts w:ascii="Times New Roman" w:hAnsi="Times New Roman" w:cs="Times New Roman"/>
          <w:b/>
          <w:color w:val="7030A0"/>
          <w:sz w:val="24"/>
          <w:szCs w:val="24"/>
        </w:rPr>
      </w:pPr>
      <w:r w:rsidRPr="00C810D1">
        <w:rPr>
          <w:rFonts w:ascii="Times New Roman" w:hAnsi="Times New Roman" w:cs="Times New Roman"/>
          <w:b/>
          <w:color w:val="7030A0"/>
          <w:sz w:val="24"/>
          <w:szCs w:val="24"/>
        </w:rPr>
        <w:t>Note:  percent</w:t>
      </w:r>
      <w:bookmarkStart w:id="0" w:name="_GoBack"/>
      <w:bookmarkEnd w:id="0"/>
      <w:r w:rsidRPr="00C810D1">
        <w:rPr>
          <w:rFonts w:ascii="Times New Roman" w:hAnsi="Times New Roman" w:cs="Times New Roman"/>
          <w:b/>
          <w:color w:val="7030A0"/>
          <w:sz w:val="24"/>
          <w:szCs w:val="24"/>
        </w:rPr>
        <w:t>age will go to 9.83 for 2021.</w:t>
      </w:r>
    </w:p>
    <w:sectPr w:rsidR="00124893" w:rsidRPr="00C810D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071" w:rsidRDefault="00996071" w:rsidP="00996071">
      <w:pPr>
        <w:spacing w:after="0" w:line="240" w:lineRule="auto"/>
      </w:pPr>
      <w:r>
        <w:separator/>
      </w:r>
    </w:p>
  </w:endnote>
  <w:endnote w:type="continuationSeparator" w:id="0">
    <w:p w:rsidR="00996071" w:rsidRDefault="00996071" w:rsidP="00996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344378"/>
      <w:docPartObj>
        <w:docPartGallery w:val="Page Numbers (Bottom of Page)"/>
        <w:docPartUnique/>
      </w:docPartObj>
    </w:sdtPr>
    <w:sdtEndPr/>
    <w:sdtContent>
      <w:sdt>
        <w:sdtPr>
          <w:id w:val="-1769616900"/>
          <w:docPartObj>
            <w:docPartGallery w:val="Page Numbers (Top of Page)"/>
            <w:docPartUnique/>
          </w:docPartObj>
        </w:sdtPr>
        <w:sdtEndPr/>
        <w:sdtContent>
          <w:p w:rsidR="00996071" w:rsidRDefault="00996071">
            <w:pPr>
              <w:pStyle w:val="Footer"/>
              <w:jc w:val="right"/>
            </w:pPr>
            <w:r>
              <w:t>Cheat Sheet</w:t>
            </w:r>
            <w:r>
              <w:tab/>
              <w:t xml:space="preserve">Updated </w:t>
            </w:r>
            <w:r w:rsidR="00062798">
              <w:t>Dec</w:t>
            </w:r>
            <w:r w:rsidR="00920E27">
              <w:t xml:space="preserve"> 2020</w:t>
            </w:r>
            <w:r>
              <w:tab/>
              <w:t xml:space="preserve">Page </w:t>
            </w:r>
            <w:r>
              <w:rPr>
                <w:b/>
                <w:bCs/>
                <w:sz w:val="24"/>
                <w:szCs w:val="24"/>
              </w:rPr>
              <w:fldChar w:fldCharType="begin"/>
            </w:r>
            <w:r>
              <w:rPr>
                <w:b/>
                <w:bCs/>
              </w:rPr>
              <w:instrText xml:space="preserve"> PAGE </w:instrText>
            </w:r>
            <w:r>
              <w:rPr>
                <w:b/>
                <w:bCs/>
                <w:sz w:val="24"/>
                <w:szCs w:val="24"/>
              </w:rPr>
              <w:fldChar w:fldCharType="separate"/>
            </w:r>
            <w:r w:rsidR="00C810D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810D1">
              <w:rPr>
                <w:b/>
                <w:bCs/>
                <w:noProof/>
              </w:rPr>
              <w:t>2</w:t>
            </w:r>
            <w:r>
              <w:rPr>
                <w:b/>
                <w:bCs/>
                <w:sz w:val="24"/>
                <w:szCs w:val="24"/>
              </w:rPr>
              <w:fldChar w:fldCharType="end"/>
            </w:r>
          </w:p>
        </w:sdtContent>
      </w:sdt>
    </w:sdtContent>
  </w:sdt>
  <w:p w:rsidR="00996071" w:rsidRDefault="00996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071" w:rsidRDefault="00996071" w:rsidP="00996071">
      <w:pPr>
        <w:spacing w:after="0" w:line="240" w:lineRule="auto"/>
      </w:pPr>
      <w:r>
        <w:separator/>
      </w:r>
    </w:p>
  </w:footnote>
  <w:footnote w:type="continuationSeparator" w:id="0">
    <w:p w:rsidR="00996071" w:rsidRDefault="00996071" w:rsidP="009960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16E9F"/>
    <w:multiLevelType w:val="hybridMultilevel"/>
    <w:tmpl w:val="E7121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D8140A"/>
    <w:multiLevelType w:val="hybridMultilevel"/>
    <w:tmpl w:val="E76A7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893"/>
    <w:rsid w:val="00062798"/>
    <w:rsid w:val="00124893"/>
    <w:rsid w:val="0024242F"/>
    <w:rsid w:val="00685F6A"/>
    <w:rsid w:val="00920E27"/>
    <w:rsid w:val="00996071"/>
    <w:rsid w:val="00C810D1"/>
    <w:rsid w:val="00D4140F"/>
    <w:rsid w:val="00DD35F8"/>
    <w:rsid w:val="00EA7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DB6E6"/>
  <w15:chartTrackingRefBased/>
  <w15:docId w15:val="{8DF98351-50EA-40BF-A90F-B39D8E09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48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3">
    <w:name w:val="list-bullet-3"/>
    <w:basedOn w:val="Normal"/>
    <w:rsid w:val="001248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s">
    <w:name w:val="italics"/>
    <w:basedOn w:val="DefaultParagraphFont"/>
    <w:rsid w:val="00124893"/>
  </w:style>
  <w:style w:type="paragraph" w:styleId="Title">
    <w:name w:val="Title"/>
    <w:basedOn w:val="Normal"/>
    <w:next w:val="Normal"/>
    <w:link w:val="TitleChar"/>
    <w:uiPriority w:val="10"/>
    <w:qFormat/>
    <w:rsid w:val="001248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89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2489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96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071"/>
  </w:style>
  <w:style w:type="paragraph" w:styleId="Footer">
    <w:name w:val="footer"/>
    <w:basedOn w:val="Normal"/>
    <w:link w:val="FooterChar"/>
    <w:uiPriority w:val="99"/>
    <w:unhideWhenUsed/>
    <w:rsid w:val="00996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Tandy Cox</dc:creator>
  <cp:keywords/>
  <dc:description/>
  <cp:lastModifiedBy>Tandi Cox</cp:lastModifiedBy>
  <cp:revision>8</cp:revision>
  <dcterms:created xsi:type="dcterms:W3CDTF">2016-11-16T18:26:00Z</dcterms:created>
  <dcterms:modified xsi:type="dcterms:W3CDTF">2021-01-19T17:01:00Z</dcterms:modified>
</cp:coreProperties>
</file>